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CSC10" w:hAnsi="CMCSC10" w:cs="CMCSC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jc w:val="center"/>
        <w:rPr>
          <w:rFonts w:ascii="CMCSC10" w:hAnsi="CMCSC10" w:cs="CMCSC10"/>
          <w:sz w:val="28"/>
          <w:szCs w:val="28"/>
        </w:rPr>
      </w:pPr>
      <w:r w:rsidRPr="002534A7">
        <w:rPr>
          <w:rFonts w:ascii="CMCSC10" w:hAnsi="CMCSC10" w:cs="CMCSC10"/>
          <w:sz w:val="28"/>
          <w:szCs w:val="28"/>
        </w:rPr>
        <w:t xml:space="preserve">Publications – Or </w:t>
      </w:r>
      <w:proofErr w:type="spellStart"/>
      <w:r w:rsidRPr="002534A7">
        <w:rPr>
          <w:rFonts w:ascii="CMCSC10" w:hAnsi="CMCSC10" w:cs="CMCSC10"/>
          <w:sz w:val="28"/>
          <w:szCs w:val="28"/>
        </w:rPr>
        <w:t>Ordentlich</w:t>
      </w:r>
      <w:proofErr w:type="spellEnd"/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jc w:val="center"/>
        <w:rPr>
          <w:rFonts w:ascii="CMCSC10" w:hAnsi="CMCSC10" w:cs="CMCSC10"/>
          <w:sz w:val="28"/>
          <w:szCs w:val="28"/>
        </w:rPr>
      </w:pPr>
      <w:bookmarkStart w:id="0" w:name="_GoBack"/>
      <w:bookmarkEnd w:id="0"/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CSC10" w:hAnsi="CMCSC10" w:cs="CMCSC10"/>
          <w:sz w:val="20"/>
          <w:szCs w:val="20"/>
        </w:rPr>
      </w:pPr>
      <w:r>
        <w:rPr>
          <w:rFonts w:ascii="CMCSC10" w:hAnsi="CMCSC10" w:cs="CMCSC10"/>
          <w:sz w:val="20"/>
          <w:szCs w:val="20"/>
        </w:rPr>
        <w:t>Journal</w:t>
      </w:r>
      <w:r>
        <w:rPr>
          <w:rFonts w:ascii="CMCSC10" w:hAnsi="CMCSC10" w:cs="CMCSC10"/>
          <w:sz w:val="20"/>
          <w:szCs w:val="20"/>
        </w:rPr>
        <w:t xml:space="preserve"> </w:t>
      </w:r>
      <w:r>
        <w:rPr>
          <w:rFonts w:ascii="CMCSC10" w:hAnsi="CMCSC10" w:cs="CMCSC10"/>
          <w:sz w:val="20"/>
          <w:szCs w:val="20"/>
        </w:rPr>
        <w:t>Publications and</w:t>
      </w:r>
      <w:r>
        <w:rPr>
          <w:rFonts w:ascii="CMCSC10" w:hAnsi="CMCSC10" w:cs="CMCSC10"/>
          <w:sz w:val="20"/>
          <w:szCs w:val="20"/>
        </w:rPr>
        <w:t xml:space="preserve"> P</w:t>
      </w:r>
      <w:r>
        <w:rPr>
          <w:rFonts w:ascii="CMCSC10" w:hAnsi="CMCSC10" w:cs="CMCSC10"/>
          <w:sz w:val="20"/>
          <w:szCs w:val="20"/>
        </w:rPr>
        <w:t>reprints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CSC10" w:hAnsi="CMCSC10" w:cs="CMCSC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, “Cyclic Coded Integer-Forcing Equalization”, IEEE Trans. </w:t>
      </w:r>
      <w:proofErr w:type="gramStart"/>
      <w:r>
        <w:rPr>
          <w:rFonts w:ascii="CMR10" w:hAnsi="CMR10" w:cs="CMR10"/>
          <w:sz w:val="20"/>
          <w:szCs w:val="20"/>
        </w:rPr>
        <w:t>On Information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Theory, vol. 58, no. 9, pp. 5804-5815, Sep. 2012.</w:t>
      </w:r>
      <w:proofErr w:type="gramEnd"/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>, “On the Robustness of Lattice Interference Alignment”, IEEE Trans.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On Information Theory, vol. 59, no. 5, pp. 2735-2759, May 2013.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,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 and B. </w:t>
      </w:r>
      <w:proofErr w:type="spellStart"/>
      <w:r>
        <w:rPr>
          <w:rFonts w:ascii="CMR10" w:hAnsi="CMR10" w:cs="CMR10"/>
          <w:sz w:val="20"/>
          <w:szCs w:val="20"/>
        </w:rPr>
        <w:t>Nazer</w:t>
      </w:r>
      <w:proofErr w:type="spellEnd"/>
      <w:r>
        <w:rPr>
          <w:rFonts w:ascii="CMR10" w:hAnsi="CMR10" w:cs="CMR10"/>
          <w:sz w:val="20"/>
          <w:szCs w:val="20"/>
        </w:rPr>
        <w:t>, “The Approximate Sum Capacity of the Symmetric Gaussian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MI10" w:hAnsi="CMMI10" w:cs="CMMI10"/>
          <w:sz w:val="20"/>
          <w:szCs w:val="20"/>
        </w:rPr>
        <w:t>K</w:t>
      </w:r>
      <w:r>
        <w:rPr>
          <w:rFonts w:ascii="CMR10" w:hAnsi="CMR10" w:cs="CMR10"/>
          <w:sz w:val="20"/>
          <w:szCs w:val="20"/>
        </w:rPr>
        <w:t xml:space="preserve">-User Interference Channel”, IEEE Trans. </w:t>
      </w:r>
      <w:proofErr w:type="gramStart"/>
      <w:r>
        <w:rPr>
          <w:rFonts w:ascii="CMR10" w:hAnsi="CMR10" w:cs="CMR10"/>
          <w:sz w:val="20"/>
          <w:szCs w:val="20"/>
        </w:rPr>
        <w:t>On Information Theory, vol. 60, no. 6, pp. 3450-3482,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June 2014.</w:t>
      </w:r>
      <w:proofErr w:type="gramEnd"/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>, “</w:t>
      </w:r>
      <w:proofErr w:type="spellStart"/>
      <w:r>
        <w:rPr>
          <w:rFonts w:ascii="CMR10" w:hAnsi="CMR10" w:cs="CMR10"/>
          <w:sz w:val="20"/>
          <w:szCs w:val="20"/>
        </w:rPr>
        <w:t>Precoded</w:t>
      </w:r>
      <w:proofErr w:type="spellEnd"/>
      <w:r>
        <w:rPr>
          <w:rFonts w:ascii="CMR10" w:hAnsi="CMR10" w:cs="CMR10"/>
          <w:sz w:val="20"/>
          <w:szCs w:val="20"/>
        </w:rPr>
        <w:t xml:space="preserve"> Integer-Forcing Universally Achieves the MIMO Capacity to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Within a Constant Gap”, submitted to IEEE Trans. </w:t>
      </w:r>
      <w:proofErr w:type="gramStart"/>
      <w:r>
        <w:rPr>
          <w:rFonts w:ascii="CMR10" w:hAnsi="CMR10" w:cs="CMR10"/>
          <w:sz w:val="20"/>
          <w:szCs w:val="20"/>
        </w:rPr>
        <w:t>On Information Theory, Apr. 2013.</w:t>
      </w:r>
      <w:proofErr w:type="gramEnd"/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>, “Integer-Forcing Source Coding”, submitted to IEEE Trans. On Information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Theory, Apr. 2013.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O. </w:t>
      </w:r>
      <w:proofErr w:type="spellStart"/>
      <w:r>
        <w:rPr>
          <w:rFonts w:ascii="CMR10" w:hAnsi="CMR10" w:cs="CMR10"/>
          <w:sz w:val="20"/>
          <w:szCs w:val="20"/>
        </w:rPr>
        <w:t>Shayevitz</w:t>
      </w:r>
      <w:proofErr w:type="spellEnd"/>
      <w:r>
        <w:rPr>
          <w:rFonts w:ascii="CMR10" w:hAnsi="CMR10" w:cs="CMR10"/>
          <w:sz w:val="20"/>
          <w:szCs w:val="20"/>
        </w:rPr>
        <w:t>, “Mutual Information Bounds via Adjacency Events”, in preparation.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CSC10" w:hAnsi="CMCSC10" w:cs="CMCSC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CSC10" w:hAnsi="CMCSC10" w:cs="CMCSC10"/>
          <w:sz w:val="20"/>
          <w:szCs w:val="20"/>
        </w:rPr>
      </w:pPr>
      <w:r>
        <w:rPr>
          <w:rFonts w:ascii="CMCSC10" w:hAnsi="CMCSC10" w:cs="CMCSC10"/>
          <w:sz w:val="20"/>
          <w:szCs w:val="20"/>
        </w:rPr>
        <w:t>Conference</w:t>
      </w:r>
      <w:r>
        <w:rPr>
          <w:rFonts w:ascii="CMCSC10" w:hAnsi="CMCSC10" w:cs="CMCSC10"/>
          <w:sz w:val="20"/>
          <w:szCs w:val="20"/>
        </w:rPr>
        <w:t xml:space="preserve"> </w:t>
      </w:r>
      <w:r>
        <w:rPr>
          <w:rFonts w:ascii="CMCSC10" w:hAnsi="CMCSC10" w:cs="CMCSC10"/>
          <w:sz w:val="20"/>
          <w:szCs w:val="20"/>
        </w:rPr>
        <w:t>Papers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CSC10" w:hAnsi="CMCSC10" w:cs="CMCSC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O. </w:t>
      </w:r>
      <w:proofErr w:type="spellStart"/>
      <w:r>
        <w:rPr>
          <w:rFonts w:ascii="CMR10" w:hAnsi="CMR10" w:cs="CMR10"/>
          <w:sz w:val="20"/>
          <w:szCs w:val="20"/>
        </w:rPr>
        <w:t>Shayevitz</w:t>
      </w:r>
      <w:proofErr w:type="spellEnd"/>
      <w:r>
        <w:rPr>
          <w:rFonts w:ascii="CMR10" w:hAnsi="CMR10" w:cs="CMR10"/>
          <w:sz w:val="20"/>
          <w:szCs w:val="20"/>
        </w:rPr>
        <w:t>, “Bounding Techniques for the Intrinsic Uncertainty of Channels”,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Proceedings of the International Symposium on Information Theory (ISIT 2014), Honolulu, HI,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USA, July 2014.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>, “Integer-Forcing Source Coding”, Proceedings of the International Symposium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on Information Theory (ISIT 2014), Honolulu, HI, USA, July 2014.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,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 and </w:t>
      </w:r>
      <w:proofErr w:type="spellStart"/>
      <w:r>
        <w:rPr>
          <w:rFonts w:ascii="CMR10" w:hAnsi="CMR10" w:cs="CMR10"/>
          <w:sz w:val="20"/>
          <w:szCs w:val="20"/>
        </w:rPr>
        <w:t>Bobak</w:t>
      </w:r>
      <w:proofErr w:type="spellEnd"/>
      <w:r>
        <w:rPr>
          <w:rFonts w:ascii="CMR10" w:hAnsi="CMR10" w:cs="CMR10"/>
          <w:sz w:val="20"/>
          <w:szCs w:val="20"/>
        </w:rPr>
        <w:t xml:space="preserve"> </w:t>
      </w:r>
      <w:proofErr w:type="spellStart"/>
      <w:r>
        <w:rPr>
          <w:rFonts w:ascii="CMR10" w:hAnsi="CMR10" w:cs="CMR10"/>
          <w:sz w:val="20"/>
          <w:szCs w:val="20"/>
        </w:rPr>
        <w:t>Nazer</w:t>
      </w:r>
      <w:proofErr w:type="spellEnd"/>
      <w:r>
        <w:rPr>
          <w:rFonts w:ascii="CMR10" w:hAnsi="CMR10" w:cs="CMR10"/>
          <w:sz w:val="20"/>
          <w:szCs w:val="20"/>
        </w:rPr>
        <w:t xml:space="preserve"> “Successive Integer-Forcing and its Sum-Rate Optimality”,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Proc. of the 51st Annual Allerton Conference on Communication, Control, and Computing,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Monticello, Illinois, Oct. 2013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>, “</w:t>
      </w:r>
      <w:proofErr w:type="spellStart"/>
      <w:r>
        <w:rPr>
          <w:rFonts w:ascii="CMR10" w:hAnsi="CMR10" w:cs="CMR10"/>
          <w:sz w:val="20"/>
          <w:szCs w:val="20"/>
        </w:rPr>
        <w:t>Precoded</w:t>
      </w:r>
      <w:proofErr w:type="spellEnd"/>
      <w:r>
        <w:rPr>
          <w:rFonts w:ascii="CMR10" w:hAnsi="CMR10" w:cs="CMR10"/>
          <w:sz w:val="20"/>
          <w:szCs w:val="20"/>
        </w:rPr>
        <w:t xml:space="preserve"> Integer-Forcing Universally Achieves the MIMO Capacity to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Within a Constant Gap”, Proceedings of the Information Theory Workshop, pp. 442–446, Seville,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Spain, Sep. 2011.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>, “A Simple Proof for the Existence of “Good” Pairs of Nested Lattices”,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Proc. of the 27th Annual Convention of Electrical and Electronic Engineers in Israel, </w:t>
      </w:r>
      <w:proofErr w:type="spellStart"/>
      <w:r>
        <w:rPr>
          <w:rFonts w:ascii="CMR10" w:hAnsi="CMR10" w:cs="CMR10"/>
          <w:sz w:val="20"/>
          <w:szCs w:val="20"/>
        </w:rPr>
        <w:t>Eilat</w:t>
      </w:r>
      <w:proofErr w:type="spellEnd"/>
      <w:r>
        <w:rPr>
          <w:rFonts w:ascii="CMR10" w:hAnsi="CMR10" w:cs="CMR10"/>
          <w:sz w:val="20"/>
          <w:szCs w:val="20"/>
        </w:rPr>
        <w:t>, pp. 1–12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Israel, Nov. 2012.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lastRenderedPageBreak/>
        <w:t xml:space="preserve">A. </w:t>
      </w:r>
      <w:proofErr w:type="spellStart"/>
      <w:r>
        <w:rPr>
          <w:rFonts w:ascii="CMR10" w:hAnsi="CMR10" w:cs="CMR10"/>
          <w:sz w:val="20"/>
          <w:szCs w:val="20"/>
        </w:rPr>
        <w:t>Khina</w:t>
      </w:r>
      <w:proofErr w:type="spellEnd"/>
      <w:r>
        <w:rPr>
          <w:rFonts w:ascii="CMR10" w:hAnsi="CMR10" w:cs="CMR10"/>
          <w:sz w:val="20"/>
          <w:szCs w:val="20"/>
        </w:rPr>
        <w:t xml:space="preserve">, 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,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, Y. </w:t>
      </w:r>
      <w:proofErr w:type="spellStart"/>
      <w:r>
        <w:rPr>
          <w:rFonts w:ascii="CMR10" w:hAnsi="CMR10" w:cs="CMR10"/>
          <w:sz w:val="20"/>
          <w:szCs w:val="20"/>
        </w:rPr>
        <w:t>Kochman</w:t>
      </w:r>
      <w:proofErr w:type="spellEnd"/>
      <w:r>
        <w:rPr>
          <w:rFonts w:ascii="CMR10" w:hAnsi="CMR10" w:cs="CMR10"/>
          <w:sz w:val="20"/>
          <w:szCs w:val="20"/>
        </w:rPr>
        <w:t xml:space="preserve"> and G. W. </w:t>
      </w:r>
      <w:proofErr w:type="spellStart"/>
      <w:r>
        <w:rPr>
          <w:rFonts w:ascii="CMR10" w:hAnsi="CMR10" w:cs="CMR10"/>
          <w:sz w:val="20"/>
          <w:szCs w:val="20"/>
        </w:rPr>
        <w:t>Wornell</w:t>
      </w:r>
      <w:proofErr w:type="spellEnd"/>
      <w:r>
        <w:rPr>
          <w:rFonts w:ascii="CMR10" w:hAnsi="CMR10" w:cs="CMR10"/>
          <w:sz w:val="20"/>
          <w:szCs w:val="20"/>
        </w:rPr>
        <w:t>, “Decode-and-Forward for the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Gaussian Relay Channel via Standard AWGN Coding and Decoding”, Proceedings of the Information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Theory Workshop, Lausanne, Switzerland, Sep. 2012.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,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 and B. </w:t>
      </w:r>
      <w:proofErr w:type="spellStart"/>
      <w:r>
        <w:rPr>
          <w:rFonts w:ascii="CMR10" w:hAnsi="CMR10" w:cs="CMR10"/>
          <w:sz w:val="20"/>
          <w:szCs w:val="20"/>
        </w:rPr>
        <w:t>Nazer</w:t>
      </w:r>
      <w:proofErr w:type="spellEnd"/>
      <w:r>
        <w:rPr>
          <w:rFonts w:ascii="CMR10" w:hAnsi="CMR10" w:cs="CMR10"/>
          <w:sz w:val="20"/>
          <w:szCs w:val="20"/>
        </w:rPr>
        <w:t>, “The Approximate Sum Capacity of the Symmetric Gaussian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MI10" w:hAnsi="CMMI10" w:cs="CMMI10"/>
          <w:sz w:val="20"/>
          <w:szCs w:val="20"/>
        </w:rPr>
        <w:t>K</w:t>
      </w:r>
      <w:r>
        <w:rPr>
          <w:rFonts w:ascii="CMR10" w:hAnsi="CMR10" w:cs="CMR10"/>
          <w:sz w:val="20"/>
          <w:szCs w:val="20"/>
        </w:rPr>
        <w:t>-User Interference Channel”, Proceedings of the International Symposium on Information Theory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(ISIT 2012), pp. 2072–2076, Cambridge, MA, USA, July 2012.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,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 and B. </w:t>
      </w:r>
      <w:proofErr w:type="spellStart"/>
      <w:r>
        <w:rPr>
          <w:rFonts w:ascii="CMR10" w:hAnsi="CMR10" w:cs="CMR10"/>
          <w:sz w:val="20"/>
          <w:szCs w:val="20"/>
        </w:rPr>
        <w:t>Nazer</w:t>
      </w:r>
      <w:proofErr w:type="spellEnd"/>
      <w:r>
        <w:rPr>
          <w:rFonts w:ascii="CMR10" w:hAnsi="CMR10" w:cs="CMR10"/>
          <w:sz w:val="20"/>
          <w:szCs w:val="20"/>
        </w:rPr>
        <w:t>, “The Compute-and-Forward Transform”, Proceedings of the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International Symposium on Information Theory (ISIT 2012), pp. 3008–3012, Cambridge, MA, USA,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July 2012.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>, “Interference Alignment at Finite SNR for Time-Invariant Channels”,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Proceedings of the Information Theory Workshop, pp. 442–446, </w:t>
      </w:r>
      <w:proofErr w:type="spellStart"/>
      <w:r>
        <w:rPr>
          <w:rFonts w:ascii="CMR10" w:hAnsi="CMR10" w:cs="CMR10"/>
          <w:sz w:val="20"/>
          <w:szCs w:val="20"/>
        </w:rPr>
        <w:t>Paraty</w:t>
      </w:r>
      <w:proofErr w:type="spellEnd"/>
      <w:r>
        <w:rPr>
          <w:rFonts w:ascii="CMR10" w:hAnsi="CMR10" w:cs="CMR10"/>
          <w:sz w:val="20"/>
          <w:szCs w:val="20"/>
        </w:rPr>
        <w:t>, Brazil, Oct. 2011.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, J. Zhan,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, M. </w:t>
      </w:r>
      <w:proofErr w:type="spellStart"/>
      <w:r>
        <w:rPr>
          <w:rFonts w:ascii="CMR10" w:hAnsi="CMR10" w:cs="CMR10"/>
          <w:sz w:val="20"/>
          <w:szCs w:val="20"/>
        </w:rPr>
        <w:t>Gastpar</w:t>
      </w:r>
      <w:proofErr w:type="spellEnd"/>
      <w:r>
        <w:rPr>
          <w:rFonts w:ascii="CMR10" w:hAnsi="CMR10" w:cs="CMR10"/>
          <w:sz w:val="20"/>
          <w:szCs w:val="20"/>
        </w:rPr>
        <w:t xml:space="preserve"> and B. </w:t>
      </w:r>
      <w:proofErr w:type="spellStart"/>
      <w:r>
        <w:rPr>
          <w:rFonts w:ascii="CMR10" w:hAnsi="CMR10" w:cs="CMR10"/>
          <w:sz w:val="20"/>
          <w:szCs w:val="20"/>
        </w:rPr>
        <w:t>Nazer</w:t>
      </w:r>
      <w:proofErr w:type="spellEnd"/>
      <w:r>
        <w:rPr>
          <w:rFonts w:ascii="CMR10" w:hAnsi="CMR10" w:cs="CMR10"/>
          <w:sz w:val="20"/>
          <w:szCs w:val="20"/>
        </w:rPr>
        <w:t xml:space="preserve">, “Practical Code Design for </w:t>
      </w:r>
      <w:proofErr w:type="spellStart"/>
      <w:r>
        <w:rPr>
          <w:rFonts w:ascii="CMR10" w:hAnsi="CMR10" w:cs="CMR10"/>
          <w:sz w:val="20"/>
          <w:szCs w:val="20"/>
        </w:rPr>
        <w:t>Computeand</w:t>
      </w:r>
      <w:proofErr w:type="spellEnd"/>
      <w:r>
        <w:rPr>
          <w:rFonts w:ascii="CMR10" w:hAnsi="CMR10" w:cs="CMR10"/>
          <w:sz w:val="20"/>
          <w:szCs w:val="20"/>
        </w:rPr>
        <w:t>-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Forward”, Proceedings of the International Symposium on Information Theory (ISIT 2011),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pp. 1876–1880, St. Petersburg, Russia, Aug. 2011.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, “Achieving </w:t>
      </w:r>
      <w:proofErr w:type="gramStart"/>
      <w:r>
        <w:rPr>
          <w:rFonts w:ascii="CMR10" w:hAnsi="CMR10" w:cs="CMR10"/>
          <w:sz w:val="20"/>
          <w:szCs w:val="20"/>
        </w:rPr>
        <w:t>The</w:t>
      </w:r>
      <w:proofErr w:type="gramEnd"/>
      <w:r>
        <w:rPr>
          <w:rFonts w:ascii="CMR10" w:hAnsi="CMR10" w:cs="CMR10"/>
          <w:sz w:val="20"/>
          <w:szCs w:val="20"/>
        </w:rPr>
        <w:t xml:space="preserve"> Gains Promised by Integer-Forcing Equalization with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Binary Codes”, Proc. of the 26th Annual Convention of Electrical and Electronic Engineers in Israel,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pp. 703–707, </w:t>
      </w:r>
      <w:proofErr w:type="spellStart"/>
      <w:r>
        <w:rPr>
          <w:rFonts w:ascii="CMR10" w:hAnsi="CMR10" w:cs="CMR10"/>
          <w:sz w:val="20"/>
          <w:szCs w:val="20"/>
        </w:rPr>
        <w:t>Eilat</w:t>
      </w:r>
      <w:proofErr w:type="spellEnd"/>
      <w:r>
        <w:rPr>
          <w:rFonts w:ascii="CMR10" w:hAnsi="CMR10" w:cs="CMR10"/>
          <w:sz w:val="20"/>
          <w:szCs w:val="20"/>
        </w:rPr>
        <w:t>, Israel, Nov. 2010.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J. Zhan, B. </w:t>
      </w:r>
      <w:proofErr w:type="spellStart"/>
      <w:r>
        <w:rPr>
          <w:rFonts w:ascii="CMR10" w:hAnsi="CMR10" w:cs="CMR10"/>
          <w:sz w:val="20"/>
          <w:szCs w:val="20"/>
        </w:rPr>
        <w:t>Nazer</w:t>
      </w:r>
      <w:proofErr w:type="spellEnd"/>
      <w:r>
        <w:rPr>
          <w:rFonts w:ascii="CMR10" w:hAnsi="CMR10" w:cs="CMR10"/>
          <w:sz w:val="20"/>
          <w:szCs w:val="20"/>
        </w:rPr>
        <w:t xml:space="preserve">, 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,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 xml:space="preserve"> and M. </w:t>
      </w:r>
      <w:proofErr w:type="spellStart"/>
      <w:r>
        <w:rPr>
          <w:rFonts w:ascii="CMR10" w:hAnsi="CMR10" w:cs="CMR10"/>
          <w:sz w:val="20"/>
          <w:szCs w:val="20"/>
        </w:rPr>
        <w:t>Gastpar</w:t>
      </w:r>
      <w:proofErr w:type="spellEnd"/>
      <w:r>
        <w:rPr>
          <w:rFonts w:ascii="CMR10" w:hAnsi="CMR10" w:cs="CMR10"/>
          <w:sz w:val="20"/>
          <w:szCs w:val="20"/>
        </w:rPr>
        <w:t>, “Integer-Forcing Architectures for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MIMO: Distributed Implementation and SIC”, Proceedings of the 44th </w:t>
      </w:r>
      <w:proofErr w:type="spellStart"/>
      <w:r>
        <w:rPr>
          <w:rFonts w:ascii="CMR10" w:hAnsi="CMR10" w:cs="CMR10"/>
          <w:sz w:val="20"/>
          <w:szCs w:val="20"/>
        </w:rPr>
        <w:t>Asilomar</w:t>
      </w:r>
      <w:proofErr w:type="spellEnd"/>
      <w:r>
        <w:rPr>
          <w:rFonts w:ascii="CMR10" w:hAnsi="CMR10" w:cs="CMR10"/>
          <w:sz w:val="20"/>
          <w:szCs w:val="20"/>
        </w:rPr>
        <w:t xml:space="preserve"> conference on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Signals, Systems and Computers, pp. 322–326, Pacific Grove, CA, Nov. 2010.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O. </w:t>
      </w:r>
      <w:proofErr w:type="spellStart"/>
      <w:r>
        <w:rPr>
          <w:rFonts w:ascii="CMR10" w:hAnsi="CMR10" w:cs="CMR10"/>
          <w:sz w:val="20"/>
          <w:szCs w:val="20"/>
        </w:rPr>
        <w:t>Ordentlich</w:t>
      </w:r>
      <w:proofErr w:type="spellEnd"/>
      <w:r>
        <w:rPr>
          <w:rFonts w:ascii="CMR10" w:hAnsi="CMR10" w:cs="CMR10"/>
          <w:sz w:val="20"/>
          <w:szCs w:val="20"/>
        </w:rPr>
        <w:t xml:space="preserve"> and U. </w:t>
      </w:r>
      <w:proofErr w:type="spellStart"/>
      <w:r>
        <w:rPr>
          <w:rFonts w:ascii="CMR10" w:hAnsi="CMR10" w:cs="CMR10"/>
          <w:sz w:val="20"/>
          <w:szCs w:val="20"/>
        </w:rPr>
        <w:t>Erez</w:t>
      </w:r>
      <w:proofErr w:type="spellEnd"/>
      <w:r>
        <w:rPr>
          <w:rFonts w:ascii="CMR10" w:hAnsi="CMR10" w:cs="CMR10"/>
          <w:sz w:val="20"/>
          <w:szCs w:val="20"/>
        </w:rPr>
        <w:t>, “Cyclic Coded Integer-Forcing Equalization”, Proc. of the 48th Annual</w:t>
      </w:r>
    </w:p>
    <w:p w:rsidR="002534A7" w:rsidRDefault="002534A7" w:rsidP="002534A7">
      <w:pPr>
        <w:autoSpaceDE w:val="0"/>
        <w:autoSpaceDN w:val="0"/>
        <w:adjustRightInd w:val="0"/>
        <w:spacing w:after="0" w:line="36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Allerton Conference on Communication, Control, and Computing, pp. 474–478, Monticello, Illinois,</w:t>
      </w:r>
    </w:p>
    <w:p w:rsidR="00C819A5" w:rsidRPr="002534A7" w:rsidRDefault="002534A7" w:rsidP="002534A7">
      <w:pPr>
        <w:spacing w:line="360" w:lineRule="auto"/>
        <w:rPr>
          <w:lang w:val="en-US"/>
        </w:rPr>
      </w:pPr>
      <w:r>
        <w:rPr>
          <w:rFonts w:ascii="CMR10" w:hAnsi="CMR10" w:cs="CMR10"/>
          <w:sz w:val="20"/>
          <w:szCs w:val="20"/>
        </w:rPr>
        <w:t>Sep. 2010</w:t>
      </w:r>
    </w:p>
    <w:sectPr w:rsidR="00C819A5" w:rsidRPr="00253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MCSC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7"/>
    <w:rsid w:val="002534A7"/>
    <w:rsid w:val="00A104A9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2014-10-02T12:50:00Z</dcterms:created>
  <dcterms:modified xsi:type="dcterms:W3CDTF">2014-10-02T12:57:00Z</dcterms:modified>
</cp:coreProperties>
</file>